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87" w:rsidRPr="0067217E" w:rsidRDefault="007D5247" w:rsidP="00F3435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7217E">
        <w:rPr>
          <w:b/>
          <w:sz w:val="36"/>
          <w:szCs w:val="36"/>
        </w:rPr>
        <w:t>ΠΡΟΔΙΑΓΡΑΦΕΣ</w:t>
      </w:r>
    </w:p>
    <w:p w:rsidR="007D5247" w:rsidRPr="00E0513D" w:rsidRDefault="00E0513D" w:rsidP="00F34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ΑΙΣΘΗΤΗΡΑΣ ΒΑΘΟΥΣ ΑΝΑΙΣΘΗΣΙΑΣ 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 xml:space="preserve">Ο αισθητήρας να διαθέτει 4 αυτοκόλλητα ηλεκτρόδια με </w:t>
      </w:r>
      <w:proofErr w:type="spellStart"/>
      <w:r w:rsidRPr="00E0513D">
        <w:t>βιοσυμβατήυδρογέλη</w:t>
      </w:r>
      <w:proofErr w:type="spellEnd"/>
      <w:r w:rsidRPr="00E0513D">
        <w:t>, χωρίς ακίδα και χωρίς να δημιουργεί ερεθισμό ή τραυματισμό στο δέρμα του ασθενή ενώ ταυτόχρονα να προσκολλάται ικανοποιητικά στο δέρμα ελαχιστοποιώντας την πιθανότητα αποκόλλησης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 xml:space="preserve">Να διαθέτει κατάλληλα διαμορφωμένο άκρο για σταθερή και εύκολη σύνδεση και αποσύνδεση με τον ενισχυτή επεξεργασίας του σήματος. Ο ενισχυτής σήματος με δυνατότητα σύνδεσης με </w:t>
      </w:r>
      <w:proofErr w:type="spellStart"/>
      <w:r w:rsidRPr="00E0513D">
        <w:t>tablet</w:t>
      </w:r>
      <w:proofErr w:type="spellEnd"/>
      <w:r w:rsidRPr="00E0513D">
        <w:t xml:space="preserve"> μέσω </w:t>
      </w:r>
      <w:proofErr w:type="spellStart"/>
      <w:r w:rsidRPr="00E0513D">
        <w:t>Bluetooth</w:t>
      </w:r>
      <w:proofErr w:type="spellEnd"/>
      <w:r w:rsidRPr="00E0513D">
        <w:t>, για τον περιορισμό της χρήσης επιπλέον καλωδίων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>Να διαθέτει επάνω του σαφείς ενδείξεις για την ορθή τοποθέτησή του στο μέτωπο του ασθενή καθώς και αντίστοιχη σήμανση με οδηγίες στην συσκευασία του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>Να είναι μικρών διαστάσεων, μήκους έως 26 εκατοστά και να μπορεί να χρησιμοποιηθεί τόσο σε ενήλικες όσο και σε παιδιά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>Να κατατεθεί, επί ποινή αποκλεισμού, αναλυτικό φύλλο συμμόρφωσης προς τις τεχνικές προδιαγραφές με αντίστοιχες παραπομπές στα επίσημα φυλλάδια του κατασκευαστικού οίκου (</w:t>
      </w:r>
      <w:proofErr w:type="spellStart"/>
      <w:r w:rsidRPr="00E0513D">
        <w:t>prospectus</w:t>
      </w:r>
      <w:proofErr w:type="spellEnd"/>
      <w:r w:rsidRPr="00E0513D">
        <w:t xml:space="preserve">, </w:t>
      </w:r>
      <w:proofErr w:type="spellStart"/>
      <w:r w:rsidRPr="00E0513D">
        <w:t>productdata</w:t>
      </w:r>
      <w:proofErr w:type="spellEnd"/>
      <w:r w:rsidRPr="00E0513D">
        <w:t xml:space="preserve">, </w:t>
      </w:r>
      <w:proofErr w:type="spellStart"/>
      <w:r w:rsidRPr="00E0513D">
        <w:t>manualκλπ</w:t>
      </w:r>
      <w:proofErr w:type="spellEnd"/>
      <w:r w:rsidRPr="00E0513D">
        <w:t>), έντυπα και λοιπά έγγραφα της τεχνικής προσφοράς του οικονομικού φορέα.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>Απαραίτητη προϋπόθεση για να είναι αποδεικτή μια προσφορά θα είναι να αναφέρεται στο σύνολο των απαιτήσεων των τεχνικών προδιαγραφών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>Να κατατεθεί, επί ποινή αποκλεισμού, ένα τουλάχιστο δείγμα</w:t>
      </w:r>
    </w:p>
    <w:p w:rsidR="00E0513D" w:rsidRDefault="00E0513D" w:rsidP="00F73250">
      <w:pPr>
        <w:pStyle w:val="a3"/>
        <w:numPr>
          <w:ilvl w:val="0"/>
          <w:numId w:val="2"/>
        </w:numPr>
        <w:spacing w:before="120"/>
      </w:pPr>
      <w:r w:rsidRPr="00E0513D">
        <w:t>Να είναι απολύτως συμβατός σύστημα παρακολούθησης βάθους αναισθησίας το οποίο να παραχωρηθεί ως συνοδός εξοπλισμός και να έχει προδιαγραφές όπως αναφέρονται παρακάτω</w:t>
      </w:r>
      <w:r>
        <w:t>: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 xml:space="preserve">Να προσφέρει παρακολούθηση κάθε σταδίου της αναισθησίας σε πραγματικό χρόνο. 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 xml:space="preserve">Να διαθέτει ενισχυτή σήματος με δυνατότητα σύνδεσης με </w:t>
      </w:r>
      <w:proofErr w:type="spellStart"/>
      <w:r>
        <w:t>tablet</w:t>
      </w:r>
      <w:proofErr w:type="spellEnd"/>
      <w:r>
        <w:t xml:space="preserve"> μέσω </w:t>
      </w:r>
      <w:proofErr w:type="spellStart"/>
      <w:r>
        <w:t>Bluetooth</w:t>
      </w:r>
      <w:proofErr w:type="spellEnd"/>
      <w:r>
        <w:t>, για την καλύτερη αξιοποίηση του χώρου στο χειρουργείο.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>Ο ενισχυτής να είναι συμβατός με αισθητήρα τεσσάρων ηλεκτροδίων, μιας χρήσης.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 xml:space="preserve">Ο ενισχυτής να είναι εξοπλισμένος με ειδικό κλιπ ώστε να προσαρμόζεται κατάλληλα στην χειρουργική τράπεζα. 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 xml:space="preserve">Να διαθέτει καλώδιο σύνδεσης του αισθητήρα και του ενισχυτή μήκους περίπου 65 </w:t>
      </w:r>
      <w:proofErr w:type="spellStart"/>
      <w:r>
        <w:t>cm</w:t>
      </w:r>
      <w:proofErr w:type="spellEnd"/>
      <w:r>
        <w:t>.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>Να διαθέτει επιπλέον τα εξής τεχνικά χαρακτηριστικά :</w:t>
      </w:r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>Δύο κανάλια EEG</w:t>
      </w:r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>Εύρος ενισχυτή εισόδου : EEG ±400uVp ,EMG ±550uVp</w:t>
      </w:r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>Φίλτρα EEG 2.5Hz ~ 48Hz(-3dB) και EMG 80Hz ~ 130Hz(- 3dB).</w:t>
      </w:r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 xml:space="preserve">Ανάλυση: EEG 15 </w:t>
      </w:r>
      <w:proofErr w:type="spellStart"/>
      <w:r>
        <w:t>bits</w:t>
      </w:r>
      <w:proofErr w:type="spellEnd"/>
      <w:r>
        <w:t xml:space="preserve">, EMG 12 </w:t>
      </w:r>
      <w:proofErr w:type="spellStart"/>
      <w:r>
        <w:t>bits</w:t>
      </w:r>
      <w:proofErr w:type="spellEnd"/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>Ρυθμό δειγματοληψίας: 250Hz</w:t>
      </w:r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 xml:space="preserve">Μπαταρία </w:t>
      </w:r>
      <w:proofErr w:type="spellStart"/>
      <w:r>
        <w:t>λιθίου</w:t>
      </w:r>
      <w:proofErr w:type="spellEnd"/>
      <w:r>
        <w:t>, αυτονομίας έως 40 ώρες</w:t>
      </w:r>
    </w:p>
    <w:p w:rsidR="00E0513D" w:rsidRDefault="00E0513D" w:rsidP="00E0513D">
      <w:pPr>
        <w:pStyle w:val="a3"/>
        <w:numPr>
          <w:ilvl w:val="2"/>
          <w:numId w:val="2"/>
        </w:numPr>
        <w:spacing w:before="120"/>
      </w:pPr>
      <w:r>
        <w:t>Να είναι μικρού βάρους έως 160gr.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 xml:space="preserve">Να διαθέτει εύχρηστο μενού και να προσφέρει την δυνατότητα παρακολούθησης των παρακάτω παραμέτρων: </w:t>
      </w:r>
    </w:p>
    <w:p w:rsidR="00E0513D" w:rsidRDefault="00E0513D" w:rsidP="00565235">
      <w:pPr>
        <w:pStyle w:val="a3"/>
        <w:numPr>
          <w:ilvl w:val="2"/>
          <w:numId w:val="2"/>
        </w:numPr>
        <w:spacing w:before="120"/>
      </w:pPr>
      <w:r>
        <w:t xml:space="preserve">Ηλεκτροεγκεφαλογράφημα (Γραφικά, σε πραγματικό χρόνο) </w:t>
      </w:r>
    </w:p>
    <w:p w:rsidR="00E0513D" w:rsidRDefault="00E0513D" w:rsidP="00565235">
      <w:pPr>
        <w:pStyle w:val="a3"/>
        <w:numPr>
          <w:ilvl w:val="2"/>
          <w:numId w:val="2"/>
        </w:numPr>
        <w:spacing w:before="120"/>
      </w:pPr>
      <w:r>
        <w:lastRenderedPageBreak/>
        <w:t>Ηλεκτρομυογράφημα (Τόσο γραφικά όσο και αριθμητικά με εύρος 0-100)</w:t>
      </w:r>
    </w:p>
    <w:p w:rsidR="00E0513D" w:rsidRDefault="00E0513D" w:rsidP="00565235">
      <w:pPr>
        <w:pStyle w:val="a3"/>
        <w:numPr>
          <w:ilvl w:val="2"/>
          <w:numId w:val="2"/>
        </w:numPr>
        <w:spacing w:before="120"/>
      </w:pPr>
      <w:r>
        <w:t>Δείκτης βάθους αναισθησίας (τόσο γραφικά όσο και αριθμητικά με εύρος 0-100)</w:t>
      </w:r>
    </w:p>
    <w:p w:rsidR="00E0513D" w:rsidRDefault="00E0513D" w:rsidP="00565235">
      <w:pPr>
        <w:pStyle w:val="a3"/>
        <w:numPr>
          <w:ilvl w:val="2"/>
          <w:numId w:val="2"/>
        </w:numPr>
        <w:spacing w:before="120"/>
      </w:pPr>
      <w:r>
        <w:t>BSR (σπασμοί του εγκεφάλου με εύρος 0 – 100)</w:t>
      </w:r>
    </w:p>
    <w:p w:rsidR="00E0513D" w:rsidRDefault="00E0513D" w:rsidP="00565235">
      <w:pPr>
        <w:pStyle w:val="a3"/>
        <w:numPr>
          <w:ilvl w:val="2"/>
          <w:numId w:val="2"/>
        </w:numPr>
        <w:spacing w:before="120"/>
      </w:pPr>
      <w:r>
        <w:t>SQI (Δείκτης ευαισθησίας σήματος με εύρος 0 – 100 και με γραφική απεικόνιση)</w:t>
      </w:r>
    </w:p>
    <w:p w:rsidR="00565235" w:rsidRPr="00565235" w:rsidRDefault="00565235" w:rsidP="00565235">
      <w:pPr>
        <w:pStyle w:val="a3"/>
        <w:numPr>
          <w:ilvl w:val="2"/>
          <w:numId w:val="2"/>
        </w:numPr>
      </w:pPr>
      <w:proofErr w:type="spellStart"/>
      <w:r w:rsidRPr="00565235">
        <w:t>DensitySpectralArray</w:t>
      </w:r>
      <w:proofErr w:type="spellEnd"/>
      <w:r w:rsidRPr="00565235">
        <w:t xml:space="preserve"> (DSA)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>Ηχητικό και οπτικό συναγερμό ο οποίος προειδοποιεί για: την λανθασμένη τοποθέτηση του αισθητήρα, ανίχνευση απότομης κίνησης του ασθενή, Η τιμή BSR έχει ξεπεράσει τα επιτρεπόμενα όρια, όταν ο δείκτης βάθους αναισθησίας ξεπεράσει τα επιτρεπόμενα όρια, όταν η μπαταρία μειωθεί σε λιγότερο από 10%, Όταν δεν υπάρχει αρκετή μνήμη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>Να προσφέρεται η δυνατότητα ρύθμισης των παραπάνω παραμέτρων μέσω του κεντρικού μενού.</w:t>
      </w:r>
    </w:p>
    <w:p w:rsidR="00E0513D" w:rsidRDefault="00E0513D" w:rsidP="00E0513D">
      <w:pPr>
        <w:pStyle w:val="a3"/>
        <w:numPr>
          <w:ilvl w:val="1"/>
          <w:numId w:val="2"/>
        </w:numPr>
        <w:spacing w:before="120"/>
      </w:pPr>
      <w:r>
        <w:t>Να προσφέρεται η δυνατότητα λήψης στιγμιότυπου οθόνης κατά την παρακολούθηση του ασθενή.</w:t>
      </w:r>
    </w:p>
    <w:p w:rsidR="00E0513D" w:rsidRDefault="00E0513D" w:rsidP="00E0513D">
      <w:pPr>
        <w:spacing w:before="120"/>
      </w:pPr>
    </w:p>
    <w:sectPr w:rsidR="00E0513D" w:rsidSect="002E397F">
      <w:pgSz w:w="11906" w:h="16838"/>
      <w:pgMar w:top="127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C10"/>
    <w:multiLevelType w:val="hybridMultilevel"/>
    <w:tmpl w:val="1A629C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339BD"/>
    <w:multiLevelType w:val="multilevel"/>
    <w:tmpl w:val="1A629C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D44CA"/>
    <w:multiLevelType w:val="hybridMultilevel"/>
    <w:tmpl w:val="AFB2D5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47"/>
    <w:rsid w:val="00034075"/>
    <w:rsid w:val="00050F5D"/>
    <w:rsid w:val="00063113"/>
    <w:rsid w:val="000D4FA5"/>
    <w:rsid w:val="001424DC"/>
    <w:rsid w:val="00175DD7"/>
    <w:rsid w:val="001A067B"/>
    <w:rsid w:val="001C4B49"/>
    <w:rsid w:val="001D52BE"/>
    <w:rsid w:val="001D60E7"/>
    <w:rsid w:val="00200E9C"/>
    <w:rsid w:val="002248E1"/>
    <w:rsid w:val="00241B75"/>
    <w:rsid w:val="00296779"/>
    <w:rsid w:val="002E0ECD"/>
    <w:rsid w:val="002E397F"/>
    <w:rsid w:val="002F3D4D"/>
    <w:rsid w:val="003A4AD8"/>
    <w:rsid w:val="003C7B42"/>
    <w:rsid w:val="00446473"/>
    <w:rsid w:val="00455AFD"/>
    <w:rsid w:val="004A420B"/>
    <w:rsid w:val="004E423A"/>
    <w:rsid w:val="004F1EC5"/>
    <w:rsid w:val="00564448"/>
    <w:rsid w:val="00565235"/>
    <w:rsid w:val="005D00FE"/>
    <w:rsid w:val="005E7E24"/>
    <w:rsid w:val="00634149"/>
    <w:rsid w:val="0067217E"/>
    <w:rsid w:val="00684E3D"/>
    <w:rsid w:val="006B021C"/>
    <w:rsid w:val="006D11F2"/>
    <w:rsid w:val="00746104"/>
    <w:rsid w:val="0077629E"/>
    <w:rsid w:val="007B5E6C"/>
    <w:rsid w:val="007D5247"/>
    <w:rsid w:val="007E3F69"/>
    <w:rsid w:val="007E52B3"/>
    <w:rsid w:val="007F4B83"/>
    <w:rsid w:val="00814FD6"/>
    <w:rsid w:val="00841FFD"/>
    <w:rsid w:val="008522FF"/>
    <w:rsid w:val="008627FC"/>
    <w:rsid w:val="00890E11"/>
    <w:rsid w:val="008D309C"/>
    <w:rsid w:val="008E5087"/>
    <w:rsid w:val="0090323D"/>
    <w:rsid w:val="0093152F"/>
    <w:rsid w:val="0098405A"/>
    <w:rsid w:val="009A095E"/>
    <w:rsid w:val="00A14BE2"/>
    <w:rsid w:val="00A164BE"/>
    <w:rsid w:val="00A966DC"/>
    <w:rsid w:val="00B1434B"/>
    <w:rsid w:val="00B30D0E"/>
    <w:rsid w:val="00B31933"/>
    <w:rsid w:val="00B47249"/>
    <w:rsid w:val="00B75A4A"/>
    <w:rsid w:val="00BC6F9F"/>
    <w:rsid w:val="00C84F82"/>
    <w:rsid w:val="00C85731"/>
    <w:rsid w:val="00C95C8A"/>
    <w:rsid w:val="00CF5ABB"/>
    <w:rsid w:val="00D36FEF"/>
    <w:rsid w:val="00D759E1"/>
    <w:rsid w:val="00E0513D"/>
    <w:rsid w:val="00E54BC1"/>
    <w:rsid w:val="00E86332"/>
    <w:rsid w:val="00EB2104"/>
    <w:rsid w:val="00EE09D1"/>
    <w:rsid w:val="00F145BB"/>
    <w:rsid w:val="00F34351"/>
    <w:rsid w:val="00F73250"/>
    <w:rsid w:val="00F7645C"/>
    <w:rsid w:val="00F86256"/>
    <w:rsid w:val="00FB34EB"/>
    <w:rsid w:val="00FE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CCFF1-11FA-47B8-BE7A-9290CA0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BIOPRO</dc:creator>
  <cp:lastModifiedBy>ΧΡΥΣΑΝΘΗ ΣΤΑΜΑΤΕΛΑΤΟΥ</cp:lastModifiedBy>
  <cp:revision>2</cp:revision>
  <dcterms:created xsi:type="dcterms:W3CDTF">2026-06-19T06:35:00Z</dcterms:created>
  <dcterms:modified xsi:type="dcterms:W3CDTF">2026-06-19T06:35:00Z</dcterms:modified>
</cp:coreProperties>
</file>