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9D8" w:rsidRDefault="00C157B9">
      <w:pPr>
        <w:pStyle w:val="Default"/>
        <w:jc w:val="center"/>
      </w:pPr>
      <w:bookmarkStart w:id="0" w:name="_GoBack"/>
      <w:bookmarkEnd w:id="0"/>
      <w:r>
        <w:rPr>
          <w:b/>
          <w:sz w:val="28"/>
        </w:rPr>
        <w:t>ΤΕΧΝΙΚΕΣ ΠΡΟΔΙΑΓΡΑΦΕΣ</w:t>
      </w:r>
    </w:p>
    <w:p w:rsidR="003619D8" w:rsidRDefault="003619D8">
      <w:pPr>
        <w:pStyle w:val="Default"/>
        <w:jc w:val="center"/>
      </w:pPr>
    </w:p>
    <w:p w:rsidR="00CE0C52" w:rsidRDefault="00C157B9" w:rsidP="00CE0C52">
      <w:pPr>
        <w:pStyle w:val="Default"/>
        <w:jc w:val="both"/>
        <w:rPr>
          <w:sz w:val="23"/>
          <w:szCs w:val="23"/>
        </w:rPr>
      </w:pPr>
      <w:r>
        <w:rPr>
          <w:b/>
          <w:bCs/>
          <w:sz w:val="23"/>
          <w:szCs w:val="23"/>
        </w:rPr>
        <w:t xml:space="preserve">Ο ανάδοχος θα πρέπει να πληροί τους ακόλουθους όρους: </w:t>
      </w:r>
    </w:p>
    <w:p w:rsidR="00CE0C52" w:rsidRDefault="00C157B9" w:rsidP="00CE0C52">
      <w:pPr>
        <w:pStyle w:val="Default"/>
        <w:spacing w:after="100" w:afterAutospacing="1"/>
        <w:jc w:val="both"/>
        <w:rPr>
          <w:sz w:val="23"/>
          <w:szCs w:val="23"/>
        </w:rPr>
      </w:pPr>
      <w:r>
        <w:rPr>
          <w:sz w:val="23"/>
          <w:szCs w:val="23"/>
        </w:rPr>
        <w:t xml:space="preserve">1. Να διασφαλίζεται η άμεση, εύκολη και γρήγορη επικοινωνία του Κλινικού Ιατρού ή/και του υπαλλήλου ειδικότητας ΤΕ Ραδιολογίας-Ακτινολογίας ή ΔΕ Χειριστών Εμφανιστών Ακτινολογικών Εργαστηρίων του Ακτινολογικού Τμήματος του Γενικού Νοσοκομείου Λασιθίου, εφόσον κρίνεται απαραίτητο, με τον Ακτινοδιαγνώστη Ιατρό για τα επείγοντα περιστατικά. </w:t>
      </w:r>
    </w:p>
    <w:p w:rsidR="00CE0C52" w:rsidRDefault="00C157B9" w:rsidP="00CE0C52">
      <w:pPr>
        <w:pStyle w:val="Default"/>
        <w:spacing w:after="100" w:afterAutospacing="1"/>
        <w:jc w:val="both"/>
        <w:rPr>
          <w:sz w:val="23"/>
          <w:szCs w:val="23"/>
        </w:rPr>
      </w:pPr>
      <w:r>
        <w:rPr>
          <w:sz w:val="23"/>
          <w:szCs w:val="23"/>
        </w:rPr>
        <w:t xml:space="preserve">2. Οι γνωματεύσεις/διαγνώσεις των αξονικών τομογραφιών να παραδίδονται ως ακολούθως: </w:t>
      </w:r>
    </w:p>
    <w:p w:rsidR="00CE0C52" w:rsidRDefault="00C157B9" w:rsidP="00CE0C52">
      <w:pPr>
        <w:pStyle w:val="Default"/>
        <w:spacing w:after="100" w:afterAutospacing="1"/>
        <w:jc w:val="both"/>
        <w:rPr>
          <w:sz w:val="23"/>
          <w:szCs w:val="23"/>
        </w:rPr>
      </w:pPr>
      <w:r>
        <w:rPr>
          <w:sz w:val="23"/>
          <w:szCs w:val="23"/>
        </w:rPr>
        <w:t xml:space="preserve">Α) εντός μίας (1) ώρας από τη διαβίβαση της εξέτασης (αξονική τομογραφία) μέσω του οικείου τεχνολογικού εξοπλισμού ή/και από την τυχόν τηλεφωνική επικοινωνία του Κλινικού Ιατρού ή/και του Τεχνολόγου Ακτινολόγου του Ακτινολογικού Τμήματος του Γενικού Νοσοκομείου Λασιθίου, με τον αρμόδιο Ακτινοδιαγνώστη Ιατρό ή τον Επιστημονικά Υπεύθυνο του αντίστοιχου τμήματος του αναδόχου, θα αποστέλλεται από τον τελευταίο μέσω ηλεκτρονικού ταχυδρομείου στο Νοσοκομείο συνοπτική δακτυλογραφημένη ενυπόγραφη απάντηση (preliminaryreport), η οποία θα περιλαμβάνει κατ’ ελάχιστον διάγνωση του κύριου κλινικού ευρήματος της εξέτασης. </w:t>
      </w:r>
    </w:p>
    <w:p w:rsidR="00CE0C52" w:rsidRDefault="00C157B9" w:rsidP="00CE0C52">
      <w:pPr>
        <w:pStyle w:val="Default"/>
        <w:spacing w:after="100" w:afterAutospacing="1"/>
        <w:jc w:val="both"/>
        <w:rPr>
          <w:sz w:val="23"/>
          <w:szCs w:val="23"/>
        </w:rPr>
      </w:pPr>
      <w:r>
        <w:rPr>
          <w:sz w:val="23"/>
          <w:szCs w:val="23"/>
        </w:rPr>
        <w:t xml:space="preserve">Β) εντός δύο (2) εργασίμων ημερών από τη διαβίβαση της εξέτασης (αξονική τομογραφία) μέσω του οικείου τεχνολογικού εξοπλισμού ή/και από την τυχόν τηλεφωνική επικοινωνία του Κλινικού Ιατρού ή/και του Τεχνολόγου Ακτινολόγου του Ακτινολογικού Τμήματος του Γενικού Νοσοκομείου Λασιθιού με τον αρμόδιο Ακτινοδιαγνώστη Ιατρό ή τον Επιστημονικά Υπεύθυνο του αντίστοιχου τμήματος του αναδόχου, θα αποστέλλεται από τον τελευταίο μέσω ηλεκτρονικού ταχυδρομείου στο Νοσοκομείο πλήρης/αναλυτική δακτυλογραφημένη ενυπόγραφη γνωμάτευση του συνόλου των κλινικών ευρημάτων. </w:t>
      </w:r>
    </w:p>
    <w:p w:rsidR="00382719" w:rsidRDefault="00C157B9" w:rsidP="00CE0C52">
      <w:pPr>
        <w:spacing w:after="100" w:afterAutospacing="1"/>
        <w:jc w:val="both"/>
        <w:rPr>
          <w:b/>
          <w:bCs/>
          <w:sz w:val="23"/>
          <w:szCs w:val="23"/>
        </w:rPr>
      </w:pPr>
      <w:r>
        <w:rPr>
          <w:sz w:val="23"/>
          <w:szCs w:val="23"/>
        </w:rPr>
        <w:t xml:space="preserve">3. </w:t>
      </w:r>
      <w:r>
        <w:rPr>
          <w:b/>
          <w:bCs/>
          <w:sz w:val="23"/>
          <w:szCs w:val="23"/>
        </w:rPr>
        <w:t>Ο ανάδοχος θα αναλαμβάνει δέκα (10) εφημερίες μηνιαίως σε συνεννόηση με το Νοσοκομείο, οι οποίες θα ξεκινάνε 15:00 έως 08:00 της επόμενης ημέρας για τις εργάσιμες ημέρες και 08:00 έως 08:00 της επομένης για τα Σαββατοκύριακα και τις αργίες.</w:t>
      </w:r>
    </w:p>
    <w:p w:rsidR="00CE0C52" w:rsidRDefault="00C157B9" w:rsidP="00CE0C52">
      <w:pPr>
        <w:pStyle w:val="Default"/>
        <w:spacing w:after="100" w:afterAutospacing="1"/>
        <w:jc w:val="both"/>
        <w:rPr>
          <w:sz w:val="23"/>
          <w:szCs w:val="23"/>
        </w:rPr>
      </w:pPr>
      <w:r>
        <w:rPr>
          <w:sz w:val="23"/>
          <w:szCs w:val="23"/>
        </w:rPr>
        <w:t xml:space="preserve">4. Να υποβληθεί τιμή/προσφορά για μονή, διπλή, τριπλή και άνω των τριών εξετάσεων για τα χρόνια περιστατικά και για τα επείγοντα περιστατικά Η τιμή/προσφορά να είναι σταθερή και να ισχύει για όλη τη διάρκεια της σύμβασης. </w:t>
      </w:r>
    </w:p>
    <w:p w:rsidR="00CE0C52" w:rsidRDefault="00C157B9" w:rsidP="00CE0C52">
      <w:pPr>
        <w:pStyle w:val="Default"/>
        <w:spacing w:after="100" w:afterAutospacing="1"/>
        <w:jc w:val="both"/>
        <w:rPr>
          <w:sz w:val="23"/>
          <w:szCs w:val="23"/>
        </w:rPr>
      </w:pPr>
      <w:r>
        <w:rPr>
          <w:sz w:val="23"/>
          <w:szCs w:val="23"/>
        </w:rPr>
        <w:t xml:space="preserve">5. Να κατατεθεί Υπεύθυνη Δήλωση τήρησης Δεδομένων Προσωπικού Χαρακτήρα. </w:t>
      </w:r>
    </w:p>
    <w:p w:rsidR="00CE0C52" w:rsidRDefault="00C157B9" w:rsidP="00CE0C52">
      <w:pPr>
        <w:pStyle w:val="Default"/>
        <w:spacing w:after="100" w:afterAutospacing="1"/>
        <w:jc w:val="both"/>
        <w:rPr>
          <w:sz w:val="23"/>
          <w:szCs w:val="23"/>
        </w:rPr>
      </w:pPr>
      <w:r>
        <w:rPr>
          <w:sz w:val="23"/>
          <w:szCs w:val="23"/>
        </w:rPr>
        <w:t xml:space="preserve">6. Να κατατεθεί Υπεύθυνη Δήλωση τήρησης εμπιστευτικότητας των αρχείων (εικόνων), που λαμβάνονται μέσω του Νοσοκομειακού Πληροφοριακού Συστήματος και ότι τα ληφθέντα αρχεία θα χρησιμοποιηθούν αποκλειστικά και μόνο για διαγνωστικούς λόγους του Γενικού ΝοσοκομείουΛασιθίου. </w:t>
      </w:r>
    </w:p>
    <w:p w:rsidR="00CE0C52" w:rsidRDefault="00C157B9" w:rsidP="00CE0C52">
      <w:pPr>
        <w:pStyle w:val="Default"/>
        <w:spacing w:after="100" w:afterAutospacing="1"/>
        <w:jc w:val="both"/>
        <w:rPr>
          <w:sz w:val="23"/>
          <w:szCs w:val="23"/>
        </w:rPr>
      </w:pPr>
      <w:r>
        <w:rPr>
          <w:sz w:val="23"/>
          <w:szCs w:val="23"/>
        </w:rPr>
        <w:t xml:space="preserve">7. Να εξασφαλίσει τον απαραίτητο τεχνολογικό εξοπλισμό που απαιτείται για την διάγνωση των αξονικών εξ΄ αποστάσεως και εκ μέρους του Νοσοκομείου και εκ μέρους του αναδόχου. Η σύνδεση γίνεται μέσω vpn που θα παραχωρίσει ο φορέας. </w:t>
      </w:r>
    </w:p>
    <w:p w:rsidR="00CE0C52" w:rsidRDefault="00C157B9" w:rsidP="00CE0C52">
      <w:pPr>
        <w:pStyle w:val="Default"/>
        <w:spacing w:after="100" w:afterAutospacing="1"/>
        <w:jc w:val="both"/>
        <w:rPr>
          <w:sz w:val="23"/>
          <w:szCs w:val="23"/>
        </w:rPr>
      </w:pPr>
      <w:r>
        <w:rPr>
          <w:sz w:val="23"/>
          <w:szCs w:val="23"/>
        </w:rPr>
        <w:lastRenderedPageBreak/>
        <w:t xml:space="preserve">8. Ο/οι Ακτινοδιαγνώστης/ες θα διαθέτει/ουν: - Πτυχίο Ιατρικής ΑΕΙ (ελληνικού ή επίσημα αναγνωρισμένου από το Ελληνικό Κράτος Ιδρύματος) - Άδεια άσκησης επαγγέλματος – Άδεια τίτλου ειδικότητας ακτινοδιαγνωστικής. </w:t>
      </w:r>
    </w:p>
    <w:p w:rsidR="00CE0C52" w:rsidRDefault="00C157B9" w:rsidP="00CE0C52">
      <w:pPr>
        <w:pStyle w:val="Default"/>
        <w:spacing w:after="100" w:afterAutospacing="1"/>
        <w:jc w:val="both"/>
        <w:rPr>
          <w:sz w:val="23"/>
          <w:szCs w:val="23"/>
        </w:rPr>
      </w:pPr>
      <w:r>
        <w:rPr>
          <w:sz w:val="23"/>
          <w:szCs w:val="23"/>
        </w:rPr>
        <w:t xml:space="preserve">9. Με την αίτηση ενδιαφέροντος ο/οι ενδιαφερόμενος/οι θα υποβάλει/ουν: - Ακριβές αντίγραφο αστυνομικής ταυτότητας - Σύντομο Βιογραφικό Σημείωμα - Τα απαιτούμενα αναφερόμενα πιο πάνω. </w:t>
      </w:r>
    </w:p>
    <w:p w:rsidR="00CE0C52" w:rsidRDefault="00C157B9" w:rsidP="00CE0C52">
      <w:pPr>
        <w:pStyle w:val="Default"/>
        <w:spacing w:after="100" w:afterAutospacing="1"/>
        <w:jc w:val="both"/>
        <w:rPr>
          <w:sz w:val="23"/>
          <w:szCs w:val="23"/>
        </w:rPr>
      </w:pPr>
      <w:r>
        <w:rPr>
          <w:sz w:val="23"/>
          <w:szCs w:val="23"/>
        </w:rPr>
        <w:t xml:space="preserve">10. Οι συμμετέχοντες οικονομικοί φορείς θα πρέπει να διαθέτουν ασφαλιστήριο συμβόλαιο αστικής ευθύνης προς τρίτους με όριο ασφάλισης 150.000,00€ ανά μεμονωμένο συμβάν και 300.000,00 Ευρώ για ομαδικό. Σε περίπτωση που στο ασφαλιστήριο συμβόλαιο προβλέπεται απαλλαγή του ασφαλιστή, πρέπει να υποβληθεί υπεύθυνη δήλωση μέσω gov.gr, στην οποία θα δηλώνεται ότι ο οικονομικός φορέας θα καλύψει εξ ιδίων πόρων μέχρι το ποσό της απαλλαγής τον ασφαλιστικό κίνδυνο. Η υπεύθυνη δήλωση υπογράφεται ψηφιακά από τον προσφέροντα και δεν απαιτείται το γνήσιο της υπογραφής. Το ασφαλιστήριο συμβόλαιο αστικής ευθύνης, συνοδευόμενο με το σχετικό παραστατικό εξόφλησής του, δυνάμει του οποίου θα καλύπτονται οι παραπάνω κίνδυνοι, θα αποτελεί αναπόσπαστο τμήμα της σύμβασης που θα υπογραφεί με τον οριστικό ανάδοχο. </w:t>
      </w:r>
    </w:p>
    <w:p w:rsidR="00CE0C52" w:rsidRDefault="00C157B9" w:rsidP="00CE0C52">
      <w:pPr>
        <w:spacing w:after="100" w:afterAutospacing="1"/>
        <w:jc w:val="both"/>
        <w:rPr>
          <w:sz w:val="23"/>
          <w:szCs w:val="23"/>
        </w:rPr>
      </w:pPr>
      <w:r>
        <w:rPr>
          <w:sz w:val="23"/>
          <w:szCs w:val="23"/>
        </w:rPr>
        <w:t>11. Ο ανάδοχος υποχρεούται να υλοποιήσει από πλευράς τεχνικής την εγκατάσταση στο Νοσοκομείο του τεχνολογικού εξοπλισμού που θα απαιτηθεί για την διάγνωση των αξονικών τομογραφιών εξ αποστάσεως και τη διασύνδεσή του με το πληροφοριακό σύστημα του Νοσοκομείου.</w:t>
      </w:r>
    </w:p>
    <w:p w:rsidR="00CE0C52" w:rsidRPr="00CE0C52" w:rsidRDefault="001B49E0" w:rsidP="00CE0C52">
      <w:pPr>
        <w:rPr>
          <w:sz w:val="23"/>
          <w:szCs w:val="23"/>
        </w:rPr>
      </w:pPr>
    </w:p>
    <w:p w:rsidR="00CE0C52" w:rsidRPr="00CE0C52" w:rsidRDefault="00C157B9" w:rsidP="00CE0C52">
      <w:pPr>
        <w:jc w:val="center"/>
        <w:rPr>
          <w:b/>
        </w:rPr>
      </w:pPr>
      <w:r w:rsidRPr="00CE0C52">
        <w:rPr>
          <w:b/>
        </w:rPr>
        <w:t>ΠΙΝΑΚΑΣ ΚΑΤΑΚΥΡΩΘΕΙΣΑΣ ΔΑΠΑΝΗΣ ΑΝΑ ΓΝΩΜΑΤΕΥΣΗ</w:t>
      </w:r>
    </w:p>
    <w:tbl>
      <w:tblPr>
        <w:tblStyle w:val="a3"/>
        <w:tblW w:w="0" w:type="auto"/>
        <w:jc w:val="center"/>
        <w:tblLook w:val="04A0" w:firstRow="1" w:lastRow="0" w:firstColumn="1" w:lastColumn="0" w:noHBand="0" w:noVBand="1"/>
      </w:tblPr>
      <w:tblGrid>
        <w:gridCol w:w="4148"/>
        <w:gridCol w:w="4148"/>
      </w:tblGrid>
      <w:tr w:rsidR="00CE0C52" w:rsidTr="00AC1951">
        <w:trPr>
          <w:jc w:val="center"/>
        </w:trPr>
        <w:tc>
          <w:tcPr>
            <w:tcW w:w="4148" w:type="dxa"/>
          </w:tcPr>
          <w:p w:rsidR="00CE0C52" w:rsidRDefault="00C157B9" w:rsidP="00AC1951">
            <w:pPr>
              <w:jc w:val="center"/>
            </w:pPr>
            <w:r>
              <w:t>Α. ΓΝΩΜΑΤΕΥΣΗ ΤΑΚΤΙΚΩΝ ΕΞΕΤΑΣΕΩΝ</w:t>
            </w:r>
          </w:p>
        </w:tc>
        <w:tc>
          <w:tcPr>
            <w:tcW w:w="4148" w:type="dxa"/>
          </w:tcPr>
          <w:p w:rsidR="00CE0C52" w:rsidRDefault="00C157B9" w:rsidP="00AC1951">
            <w:pPr>
              <w:jc w:val="center"/>
            </w:pPr>
            <w:r>
              <w:t>ΔΑΠΑΝΗ ΑΝΕΥ ΦΠΑ</w:t>
            </w:r>
          </w:p>
        </w:tc>
      </w:tr>
      <w:tr w:rsidR="00CE0C52" w:rsidTr="00AC1951">
        <w:trPr>
          <w:jc w:val="center"/>
        </w:trPr>
        <w:tc>
          <w:tcPr>
            <w:tcW w:w="4148" w:type="dxa"/>
          </w:tcPr>
          <w:p w:rsidR="00CE0C52" w:rsidRDefault="00C157B9" w:rsidP="00AC1951">
            <w:pPr>
              <w:jc w:val="center"/>
            </w:pPr>
            <w:r>
              <w:t>Αξονική Τομογραφία</w:t>
            </w:r>
          </w:p>
        </w:tc>
        <w:tc>
          <w:tcPr>
            <w:tcW w:w="4148" w:type="dxa"/>
          </w:tcPr>
          <w:p w:rsidR="00CE0C52" w:rsidRDefault="00C157B9" w:rsidP="00AC1951">
            <w:pPr>
              <w:jc w:val="center"/>
            </w:pPr>
            <w:r w:rsidRPr="00CE0C52">
              <w:t>……….. €</w:t>
            </w:r>
          </w:p>
        </w:tc>
      </w:tr>
      <w:tr w:rsidR="00CE0C52" w:rsidTr="00AC1951">
        <w:trPr>
          <w:jc w:val="center"/>
        </w:trPr>
        <w:tc>
          <w:tcPr>
            <w:tcW w:w="4148" w:type="dxa"/>
          </w:tcPr>
          <w:p w:rsidR="00CE0C52" w:rsidRDefault="00C157B9" w:rsidP="00AC1951">
            <w:pPr>
              <w:jc w:val="center"/>
            </w:pPr>
            <w:r>
              <w:t>Αξονική Αγγειογραφία</w:t>
            </w:r>
          </w:p>
        </w:tc>
        <w:tc>
          <w:tcPr>
            <w:tcW w:w="4148" w:type="dxa"/>
          </w:tcPr>
          <w:p w:rsidR="00CE0C52" w:rsidRDefault="00C157B9" w:rsidP="00AC1951">
            <w:pPr>
              <w:jc w:val="center"/>
            </w:pPr>
            <w:r w:rsidRPr="00CE0C52">
              <w:t>……….. €</w:t>
            </w:r>
          </w:p>
        </w:tc>
      </w:tr>
    </w:tbl>
    <w:p w:rsidR="00CE0C52" w:rsidRDefault="00C157B9" w:rsidP="00CE0C52">
      <w:r>
        <w:t>ΦΠΑ 0%</w:t>
      </w:r>
    </w:p>
    <w:p w:rsidR="00CE0C52" w:rsidRDefault="00C157B9" w:rsidP="00CE0C52">
      <w:pPr>
        <w:jc w:val="both"/>
      </w:pPr>
      <w:r>
        <w:t>Γραπτό πόρισμα των γνωματεύσεων θα δίδεται εντός (2) εργασίμων ημερών από την ανάθεση για τις Αξονικές αγγειογραφίες και τις απλές ακτινογραφίες.</w:t>
      </w:r>
    </w:p>
    <w:tbl>
      <w:tblPr>
        <w:tblStyle w:val="a3"/>
        <w:tblW w:w="0" w:type="auto"/>
        <w:tblLook w:val="04A0" w:firstRow="1" w:lastRow="0" w:firstColumn="1" w:lastColumn="0" w:noHBand="0" w:noVBand="1"/>
      </w:tblPr>
      <w:tblGrid>
        <w:gridCol w:w="4148"/>
        <w:gridCol w:w="4148"/>
      </w:tblGrid>
      <w:tr w:rsidR="00CE0C52" w:rsidTr="00CE0C52">
        <w:tc>
          <w:tcPr>
            <w:tcW w:w="4148" w:type="dxa"/>
          </w:tcPr>
          <w:p w:rsidR="00CE0C52" w:rsidRDefault="00C157B9" w:rsidP="00AC1951">
            <w:pPr>
              <w:jc w:val="center"/>
            </w:pPr>
            <w:r>
              <w:t>Β. ΓΝΩΜΑΤΕΥΣΗ ΕΠΕΙΓΟΥΣΩΝ ΕΞΕΤΑΣΕΩΝ</w:t>
            </w:r>
          </w:p>
        </w:tc>
        <w:tc>
          <w:tcPr>
            <w:tcW w:w="4148" w:type="dxa"/>
          </w:tcPr>
          <w:p w:rsidR="00CE0C52" w:rsidRDefault="00C157B9" w:rsidP="00AC1951">
            <w:pPr>
              <w:jc w:val="center"/>
            </w:pPr>
            <w:r w:rsidRPr="00CE0C52">
              <w:t>ΔΑΠΑΝΗ ΑΝΕΥ ΦΠΑ</w:t>
            </w:r>
          </w:p>
        </w:tc>
      </w:tr>
      <w:tr w:rsidR="00CE0C52" w:rsidTr="00CE0C52">
        <w:tc>
          <w:tcPr>
            <w:tcW w:w="4148" w:type="dxa"/>
          </w:tcPr>
          <w:p w:rsidR="00CE0C52" w:rsidRDefault="00C157B9" w:rsidP="00AC1951">
            <w:pPr>
              <w:jc w:val="center"/>
            </w:pPr>
            <w:r w:rsidRPr="00CE0C52">
              <w:t>Επείγουσα Αξονική Τομογραφία Μονή</w:t>
            </w:r>
          </w:p>
        </w:tc>
        <w:tc>
          <w:tcPr>
            <w:tcW w:w="4148" w:type="dxa"/>
          </w:tcPr>
          <w:p w:rsidR="00CE0C52" w:rsidRDefault="00C157B9" w:rsidP="00AC1951">
            <w:pPr>
              <w:jc w:val="center"/>
            </w:pPr>
            <w:r>
              <w:t>………</w:t>
            </w:r>
            <w:r w:rsidRPr="00CE0C52">
              <w:t>.. €</w:t>
            </w:r>
          </w:p>
        </w:tc>
      </w:tr>
      <w:tr w:rsidR="00CE0C52" w:rsidTr="00CE0C52">
        <w:tc>
          <w:tcPr>
            <w:tcW w:w="4148" w:type="dxa"/>
          </w:tcPr>
          <w:p w:rsidR="00CE0C52" w:rsidRDefault="00C157B9" w:rsidP="00AC1951">
            <w:pPr>
              <w:jc w:val="center"/>
            </w:pPr>
            <w:r w:rsidRPr="00CE0C52">
              <w:t>Επείγουσα Αξονική Τομογραφία Διπλή</w:t>
            </w:r>
          </w:p>
        </w:tc>
        <w:tc>
          <w:tcPr>
            <w:tcW w:w="4148" w:type="dxa"/>
          </w:tcPr>
          <w:p w:rsidR="00CE0C52" w:rsidRDefault="00C157B9" w:rsidP="00AC1951">
            <w:pPr>
              <w:jc w:val="center"/>
            </w:pPr>
            <w:r w:rsidRPr="00CE0C52">
              <w:t>……….. €</w:t>
            </w:r>
          </w:p>
        </w:tc>
      </w:tr>
      <w:tr w:rsidR="00CE0C52" w:rsidTr="00CE0C52">
        <w:tc>
          <w:tcPr>
            <w:tcW w:w="4148" w:type="dxa"/>
          </w:tcPr>
          <w:p w:rsidR="00CE0C52" w:rsidRDefault="00C157B9" w:rsidP="00AC1951">
            <w:pPr>
              <w:jc w:val="center"/>
            </w:pPr>
            <w:r>
              <w:t>Επείγουσα Αξονική Τομογραφία Τριπλή</w:t>
            </w:r>
          </w:p>
        </w:tc>
        <w:tc>
          <w:tcPr>
            <w:tcW w:w="4148" w:type="dxa"/>
          </w:tcPr>
          <w:p w:rsidR="00CE0C52" w:rsidRDefault="00C157B9" w:rsidP="00AC1951">
            <w:pPr>
              <w:jc w:val="center"/>
            </w:pPr>
            <w:r w:rsidRPr="00CE0C52">
              <w:t>……….. €</w:t>
            </w:r>
          </w:p>
        </w:tc>
      </w:tr>
      <w:tr w:rsidR="00CE0C52" w:rsidTr="00CE0C52">
        <w:tc>
          <w:tcPr>
            <w:tcW w:w="4148" w:type="dxa"/>
          </w:tcPr>
          <w:p w:rsidR="00CE0C52" w:rsidRDefault="00C157B9" w:rsidP="00AC1951">
            <w:pPr>
              <w:jc w:val="center"/>
            </w:pPr>
            <w:r w:rsidRPr="00CE0C52">
              <w:t>Επείγουσα Αξονική Τομογραφία Τετραπλή</w:t>
            </w:r>
          </w:p>
        </w:tc>
        <w:tc>
          <w:tcPr>
            <w:tcW w:w="4148" w:type="dxa"/>
          </w:tcPr>
          <w:p w:rsidR="00CE0C52" w:rsidRDefault="00C157B9" w:rsidP="00AC1951">
            <w:pPr>
              <w:jc w:val="center"/>
            </w:pPr>
            <w:r w:rsidRPr="00CE0C52">
              <w:t>……….. €</w:t>
            </w:r>
          </w:p>
        </w:tc>
      </w:tr>
    </w:tbl>
    <w:p w:rsidR="00CE0C52" w:rsidRDefault="00C157B9" w:rsidP="00CE0C52">
      <w:r>
        <w:t>ΦΠΑ 0%</w:t>
      </w:r>
    </w:p>
    <w:p w:rsidR="00CE0C52" w:rsidRDefault="00C157B9" w:rsidP="00CE0C52">
      <w:pPr>
        <w:jc w:val="both"/>
      </w:pPr>
      <w:r>
        <w:t xml:space="preserve">Οι γνωματεύσεις/διαγνώσεις των επειγουσών αξονικών θα παραδίδονται από τον Ακτινοδιαγνώστη Ιατρό, </w:t>
      </w:r>
      <w:r w:rsidRPr="00CE0C52">
        <w:rPr>
          <w:b/>
        </w:rPr>
        <w:t>προφορικά, εντός μίας ώρας από την παραλαβή της εξέτασης για τα επείγοντα περιστατικά</w:t>
      </w:r>
      <w:r>
        <w:t>.</w:t>
      </w:r>
    </w:p>
    <w:p w:rsidR="00CE0C52" w:rsidRDefault="00C157B9" w:rsidP="00CE0C52">
      <w:pPr>
        <w:jc w:val="both"/>
      </w:pPr>
      <w:r>
        <w:t xml:space="preserve">Τα ιατρικά πορίσματα θα συντάσσονται και θα αποστέλλονται δακτυλογραφημένα και υπογεγραμμένα από τον ιατρό ακτινοδιαγνώστη, μέσω του οικείου τεχνολογικού εξοπλισμού, </w:t>
      </w:r>
      <w:r w:rsidRPr="00CE0C52">
        <w:rPr>
          <w:b/>
        </w:rPr>
        <w:t>με χρόνο ανταπόκρισης την ίδια ημέρα της παραλαβής της εξέτασης</w:t>
      </w:r>
      <w:r>
        <w:t xml:space="preserve">. Σε </w:t>
      </w:r>
      <w:r>
        <w:lastRenderedPageBreak/>
        <w:t>περίπτωση εξαιρετικώς επείγοντος περιστατικού, απαιτείται η δυνατότητα άμεσης προτεραιότητας, έναντι όλων των άλλων εξετάσεων.</w:t>
      </w:r>
    </w:p>
    <w:p w:rsidR="00CE0C52" w:rsidRDefault="00C157B9" w:rsidP="00CE0C52">
      <w:pPr>
        <w:jc w:val="both"/>
      </w:pPr>
      <w:r>
        <w:t>Η παροχή ιατρικών υπηρεσιών ακτινοδιάγνωσης απαλλάσσεται του ΦΠΑ σύμφωνα με το άρθρο 22 του Ν. 2859/00. Στην προσφερόμενη τιμή συμπεριλαμβάνεται και ο απαραίτητος συνοδός εξοπλισμός που απαιτείται.</w:t>
      </w:r>
    </w:p>
    <w:p w:rsidR="00CE0C52" w:rsidRDefault="00C157B9" w:rsidP="00CE0C52">
      <w:pPr>
        <w:jc w:val="both"/>
      </w:pPr>
      <w: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w:t>
      </w:r>
    </w:p>
    <w:p w:rsidR="00CE0C52" w:rsidRPr="00CE0C52" w:rsidRDefault="00C157B9" w:rsidP="00CE0C52">
      <w:pPr>
        <w:jc w:val="both"/>
        <w:rPr>
          <w:b/>
        </w:rPr>
      </w:pPr>
      <w:r w:rsidRPr="00CE0C52">
        <w:rPr>
          <w:b/>
        </w:rPr>
        <w:t>Οι προσφερόμενες τιμές είναι σταθερές καθ’ όλη τη διάρκεια της σύμβασης και δεν αναπροσαρμόζονται.</w:t>
      </w:r>
    </w:p>
    <w:sectPr w:rsidR="00CE0C52" w:rsidRPr="00CE0C52" w:rsidSect="003619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674618"/>
    <w:multiLevelType w:val="hybridMultilevel"/>
    <w:tmpl w:val="909E75F0"/>
    <w:lvl w:ilvl="0" w:tplc="DA487FAA">
      <w:start w:val="1"/>
      <w:numFmt w:val="decimal"/>
      <w:lvlText w:val="%1."/>
      <w:lvlJc w:val="left"/>
      <w:pPr>
        <w:ind w:left="720" w:hanging="360"/>
      </w:pPr>
    </w:lvl>
    <w:lvl w:ilvl="1" w:tplc="06066156">
      <w:start w:val="1"/>
      <w:numFmt w:val="decimal"/>
      <w:lvlText w:val="%2."/>
      <w:lvlJc w:val="left"/>
      <w:pPr>
        <w:ind w:left="1440" w:hanging="1080"/>
      </w:pPr>
    </w:lvl>
    <w:lvl w:ilvl="2" w:tplc="A6F488C0">
      <w:start w:val="1"/>
      <w:numFmt w:val="decimal"/>
      <w:lvlText w:val="%3."/>
      <w:lvlJc w:val="left"/>
      <w:pPr>
        <w:ind w:left="2160" w:hanging="1980"/>
      </w:pPr>
    </w:lvl>
    <w:lvl w:ilvl="3" w:tplc="D8B64EB4">
      <w:start w:val="1"/>
      <w:numFmt w:val="decimal"/>
      <w:lvlText w:val="%4."/>
      <w:lvlJc w:val="left"/>
      <w:pPr>
        <w:ind w:left="2880" w:hanging="2520"/>
      </w:pPr>
    </w:lvl>
    <w:lvl w:ilvl="4" w:tplc="E67CB578">
      <w:start w:val="1"/>
      <w:numFmt w:val="decimal"/>
      <w:lvlText w:val="%5."/>
      <w:lvlJc w:val="left"/>
      <w:pPr>
        <w:ind w:left="3600" w:hanging="3240"/>
      </w:pPr>
    </w:lvl>
    <w:lvl w:ilvl="5" w:tplc="4390746C">
      <w:start w:val="1"/>
      <w:numFmt w:val="decimal"/>
      <w:lvlText w:val="%6."/>
      <w:lvlJc w:val="left"/>
      <w:pPr>
        <w:ind w:left="4320" w:hanging="4140"/>
      </w:pPr>
    </w:lvl>
    <w:lvl w:ilvl="6" w:tplc="AD3C6B42">
      <w:start w:val="1"/>
      <w:numFmt w:val="decimal"/>
      <w:lvlText w:val="%7."/>
      <w:lvlJc w:val="left"/>
      <w:pPr>
        <w:ind w:left="5040" w:hanging="4680"/>
      </w:pPr>
    </w:lvl>
    <w:lvl w:ilvl="7" w:tplc="35D0CCDC">
      <w:start w:val="1"/>
      <w:numFmt w:val="decimal"/>
      <w:lvlText w:val="%8."/>
      <w:lvlJc w:val="left"/>
      <w:pPr>
        <w:ind w:left="5760" w:hanging="5400"/>
      </w:pPr>
    </w:lvl>
    <w:lvl w:ilvl="8" w:tplc="D2440310">
      <w:start w:val="1"/>
      <w:numFmt w:val="decimal"/>
      <w:lvlText w:val="%9."/>
      <w:lvlJc w:val="left"/>
      <w:pPr>
        <w:ind w:left="6480" w:hanging="6300"/>
      </w:pPr>
    </w:lvl>
  </w:abstractNum>
  <w:abstractNum w:abstractNumId="1">
    <w:nsid w:val="63893CDE"/>
    <w:multiLevelType w:val="hybridMultilevel"/>
    <w:tmpl w:val="A08A784E"/>
    <w:lvl w:ilvl="0" w:tplc="C2640092">
      <w:numFmt w:val="bullet"/>
      <w:lvlText w:val=""/>
      <w:lvlJc w:val="left"/>
      <w:pPr>
        <w:ind w:left="720" w:hanging="360"/>
      </w:pPr>
      <w:rPr>
        <w:rFonts w:ascii="Symbol" w:hAnsi="Symbol"/>
      </w:rPr>
    </w:lvl>
    <w:lvl w:ilvl="1" w:tplc="2B4C8A66">
      <w:numFmt w:val="bullet"/>
      <w:lvlText w:val="o"/>
      <w:lvlJc w:val="left"/>
      <w:pPr>
        <w:ind w:left="1440" w:hanging="1080"/>
      </w:pPr>
      <w:rPr>
        <w:rFonts w:ascii="Courier New" w:hAnsi="Courier New"/>
      </w:rPr>
    </w:lvl>
    <w:lvl w:ilvl="2" w:tplc="D76A856A">
      <w:numFmt w:val="bullet"/>
      <w:lvlText w:val=""/>
      <w:lvlJc w:val="left"/>
      <w:pPr>
        <w:ind w:left="2160" w:hanging="1800"/>
      </w:pPr>
    </w:lvl>
    <w:lvl w:ilvl="3" w:tplc="A468913E">
      <w:numFmt w:val="bullet"/>
      <w:lvlText w:val=""/>
      <w:lvlJc w:val="left"/>
      <w:pPr>
        <w:ind w:left="2880" w:hanging="2520"/>
      </w:pPr>
      <w:rPr>
        <w:rFonts w:ascii="Symbol" w:hAnsi="Symbol"/>
      </w:rPr>
    </w:lvl>
    <w:lvl w:ilvl="4" w:tplc="99EC5F8C">
      <w:numFmt w:val="bullet"/>
      <w:lvlText w:val="o"/>
      <w:lvlJc w:val="left"/>
      <w:pPr>
        <w:ind w:left="3600" w:hanging="3240"/>
      </w:pPr>
      <w:rPr>
        <w:rFonts w:ascii="Courier New" w:hAnsi="Courier New"/>
      </w:rPr>
    </w:lvl>
    <w:lvl w:ilvl="5" w:tplc="0B0898A2">
      <w:numFmt w:val="bullet"/>
      <w:lvlText w:val=""/>
      <w:lvlJc w:val="left"/>
      <w:pPr>
        <w:ind w:left="4320" w:hanging="3960"/>
      </w:pPr>
    </w:lvl>
    <w:lvl w:ilvl="6" w:tplc="2BF47650">
      <w:numFmt w:val="bullet"/>
      <w:lvlText w:val=""/>
      <w:lvlJc w:val="left"/>
      <w:pPr>
        <w:ind w:left="5040" w:hanging="4680"/>
      </w:pPr>
      <w:rPr>
        <w:rFonts w:ascii="Symbol" w:hAnsi="Symbol"/>
      </w:rPr>
    </w:lvl>
    <w:lvl w:ilvl="7" w:tplc="54A0F80C">
      <w:numFmt w:val="bullet"/>
      <w:lvlText w:val="o"/>
      <w:lvlJc w:val="left"/>
      <w:pPr>
        <w:ind w:left="5760" w:hanging="5400"/>
      </w:pPr>
      <w:rPr>
        <w:rFonts w:ascii="Courier New" w:hAnsi="Courier New"/>
      </w:rPr>
    </w:lvl>
    <w:lvl w:ilvl="8" w:tplc="A9BAE60A">
      <w:numFmt w:val="bullet"/>
      <w:lvlText w:val=""/>
      <w:lvlJc w:val="left"/>
      <w:pPr>
        <w:ind w:left="6480" w:hanging="61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9D8"/>
    <w:rsid w:val="001B49E0"/>
    <w:rsid w:val="003619D8"/>
    <w:rsid w:val="007D2CFC"/>
    <w:rsid w:val="00C157B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B4B7A9-EFE7-43C5-8669-231E563D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619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0C52"/>
    <w:pPr>
      <w:autoSpaceDE w:val="0"/>
      <w:autoSpaceDN w:val="0"/>
      <w:adjustRightInd w:val="0"/>
      <w:spacing w:after="0" w:line="240" w:lineRule="auto"/>
    </w:pPr>
    <w:rPr>
      <w:rFonts w:hAnsi="Calibri" w:cs="Calibri"/>
      <w:color w:val="000000"/>
      <w:sz w:val="24"/>
      <w:szCs w:val="24"/>
    </w:rPr>
  </w:style>
  <w:style w:type="table" w:styleId="a3">
    <w:name w:val="Table Grid"/>
    <w:basedOn w:val="a1"/>
    <w:uiPriority w:val="39"/>
    <w:rsid w:val="00CE0C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rsid w:val="003619D8"/>
    <w:pPr>
      <w:spacing w:after="300"/>
    </w:pPr>
    <w:rPr>
      <w:color w:val="17365D"/>
      <w:sz w:val="52"/>
    </w:rPr>
  </w:style>
  <w:style w:type="paragraph" w:styleId="a5">
    <w:name w:val="Subtitle"/>
    <w:basedOn w:val="a"/>
    <w:rsid w:val="003619D8"/>
    <w:rPr>
      <w:i/>
      <w:color w:val="4F81BD"/>
      <w:sz w:val="24"/>
    </w:rPr>
  </w:style>
  <w:style w:type="paragraph" w:customStyle="1" w:styleId="11">
    <w:name w:val="Επικεφαλίδα 11"/>
    <w:basedOn w:val="a"/>
    <w:rsid w:val="003619D8"/>
    <w:pPr>
      <w:spacing w:before="480"/>
    </w:pPr>
    <w:rPr>
      <w:b/>
      <w:color w:val="345A8A"/>
      <w:sz w:val="32"/>
    </w:rPr>
  </w:style>
  <w:style w:type="paragraph" w:customStyle="1" w:styleId="21">
    <w:name w:val="Επικεφαλίδα 21"/>
    <w:basedOn w:val="a"/>
    <w:rsid w:val="003619D8"/>
    <w:pPr>
      <w:spacing w:before="200"/>
    </w:pPr>
    <w:rPr>
      <w:b/>
      <w:color w:val="4F81BD"/>
      <w:sz w:val="26"/>
    </w:rPr>
  </w:style>
  <w:style w:type="paragraph" w:customStyle="1" w:styleId="31">
    <w:name w:val="Επικεφαλίδα 31"/>
    <w:basedOn w:val="a"/>
    <w:rsid w:val="003619D8"/>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4904</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ΕΛΕΝΗ ΜΗΝΑΔΑΚΗ</dc:creator>
  <cp:lastModifiedBy>ΧΡΥΣΑΝΘΗ ΣΤΑΜΑΤΕΛΑΤΟΥ</cp:lastModifiedBy>
  <cp:revision>2</cp:revision>
  <dcterms:created xsi:type="dcterms:W3CDTF">2026-06-25T04:19:00Z</dcterms:created>
  <dcterms:modified xsi:type="dcterms:W3CDTF">2026-06-25T04:19:00Z</dcterms:modified>
</cp:coreProperties>
</file>