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B5B" w:rsidRPr="0067031E" w:rsidRDefault="006D7B73">
      <w:pPr>
        <w:pStyle w:val="Standard"/>
        <w:pBdr>
          <w:top w:val="none" w:sz="0" w:space="0" w:color="auto"/>
          <w:left w:val="none" w:sz="0" w:space="0" w:color="auto"/>
          <w:bottom w:val="none" w:sz="0" w:space="0" w:color="auto"/>
          <w:right w:val="none" w:sz="0" w:space="0" w:color="auto"/>
        </w:pBdr>
        <w:spacing w:after="209" w:line="259" w:lineRule="auto"/>
        <w:ind w:left="0"/>
        <w:rPr>
          <w:sz w:val="44"/>
          <w:szCs w:val="44"/>
        </w:rPr>
      </w:pPr>
      <w:bookmarkStart w:id="0" w:name="_GoBack"/>
      <w:bookmarkEnd w:id="0"/>
      <w:r w:rsidRPr="0067031E">
        <w:rPr>
          <w:rFonts w:cs="Calibri"/>
          <w:b/>
          <w:sz w:val="44"/>
          <w:szCs w:val="44"/>
          <w:u w:val="single" w:color="000000"/>
        </w:rPr>
        <w:t>ΠΡΟΔΙΑΓΡΑΦΕΣ ΣΥΣΤΗΜΑΤΟΣ ΑΡΝΗΤΙΚΗΣ ΠΙΕΣΗΣ</w:t>
      </w:r>
    </w:p>
    <w:p w:rsidR="00904B5B" w:rsidRPr="0067031E" w:rsidRDefault="006D7B73">
      <w:pPr>
        <w:pStyle w:val="Standard"/>
        <w:spacing w:after="0" w:line="259" w:lineRule="auto"/>
        <w:rPr>
          <w:sz w:val="44"/>
          <w:szCs w:val="44"/>
        </w:rPr>
      </w:pPr>
      <w:r w:rsidRPr="0067031E">
        <w:rPr>
          <w:rFonts w:cs="Calibri"/>
          <w:b/>
          <w:sz w:val="44"/>
          <w:szCs w:val="44"/>
          <w:u w:val="single" w:color="000000"/>
        </w:rPr>
        <w:t>ΚΩΔΙΚΟΣ ΝΟΣΟΚΟΜΕΙΟΥ:268767</w:t>
      </w:r>
    </w:p>
    <w:p w:rsidR="00904B5B" w:rsidRPr="0067031E" w:rsidRDefault="006D7B73">
      <w:pPr>
        <w:pStyle w:val="Standard"/>
        <w:rPr>
          <w:sz w:val="44"/>
          <w:szCs w:val="44"/>
        </w:rPr>
      </w:pPr>
      <w:r w:rsidRPr="0067031E">
        <w:rPr>
          <w:rFonts w:cs="Calibri"/>
          <w:b/>
          <w:sz w:val="44"/>
          <w:szCs w:val="44"/>
          <w:u w:val="single" w:color="000000"/>
        </w:rPr>
        <w:t>ΤΕΧΝΙΚΕΣ ΠΡΟΔΙΑΓΡΑΦΕΣ ΔΟΧΕΙΟΥ ΣΥΛΛΟΓΗΣ ΓΙΑ ΣΥΣΤΗΜΑ ΑΡΝΗΤΙΚΗΣ ΠΙΕΣΗΣ</w:t>
      </w:r>
      <w:r w:rsidRPr="0067031E">
        <w:rPr>
          <w:sz w:val="44"/>
          <w:szCs w:val="44"/>
        </w:rPr>
        <w:t xml:space="preserve">:  Να έχει μεγάλη χωρητικότητα, </w:t>
      </w:r>
      <w:r w:rsidRPr="0067031E">
        <w:rPr>
          <w:rFonts w:cs="Calibri"/>
          <w:b/>
          <w:sz w:val="44"/>
          <w:szCs w:val="44"/>
        </w:rPr>
        <w:t>1100 ml.</w:t>
      </w:r>
      <w:r w:rsidRPr="0067031E">
        <w:rPr>
          <w:sz w:val="44"/>
          <w:szCs w:val="44"/>
        </w:rPr>
        <w:t>Να μετατρέπει το εξίδρωμα σε τζέλ. Να αναγράφεται πάνω στο μέσο συλλογής του εξιδρώματος η διαβάθμιση των ml. Να φέρει φίλτρο για αποφυγή εισροής εξιδρώματος στην αντλία. Να είναι του ίδιου κατασκευαστικού οίκου με την αντλία και τα υπόλοιπα αναλώσιμα ώστε να είναι απόλυτα συμβατό για τέλεια προσαρμογή στο αντίστοιχο σετ επιδέσμων (σπόγγων).</w:t>
      </w:r>
    </w:p>
    <w:p w:rsidR="00904B5B" w:rsidRPr="0067031E" w:rsidRDefault="00904B5B">
      <w:pPr>
        <w:pStyle w:val="Standard"/>
        <w:pBdr>
          <w:top w:val="none" w:sz="0" w:space="0" w:color="auto"/>
          <w:left w:val="none" w:sz="0" w:space="0" w:color="auto"/>
          <w:bottom w:val="none" w:sz="0" w:space="0" w:color="auto"/>
          <w:right w:val="none" w:sz="0" w:space="0" w:color="auto"/>
        </w:pBdr>
        <w:spacing w:after="0" w:line="259" w:lineRule="auto"/>
        <w:ind w:left="0"/>
        <w:rPr>
          <w:rFonts w:cs="Calibri"/>
          <w:sz w:val="44"/>
          <w:szCs w:val="44"/>
        </w:rPr>
      </w:pPr>
    </w:p>
    <w:tbl>
      <w:tblPr>
        <w:tblW w:w="8634" w:type="dxa"/>
        <w:tblInd w:w="-105" w:type="dxa"/>
        <w:tblLayout w:type="fixed"/>
        <w:tblCellMar>
          <w:left w:w="10" w:type="dxa"/>
          <w:right w:w="10" w:type="dxa"/>
        </w:tblCellMar>
        <w:tblLook w:val="0000" w:firstRow="0" w:lastRow="0" w:firstColumn="0" w:lastColumn="0" w:noHBand="0" w:noVBand="0"/>
      </w:tblPr>
      <w:tblGrid>
        <w:gridCol w:w="8634"/>
      </w:tblGrid>
      <w:tr w:rsidR="00904B5B" w:rsidRPr="0067031E">
        <w:trPr>
          <w:trHeight w:val="2966"/>
        </w:trPr>
        <w:tc>
          <w:tcPr>
            <w:tcW w:w="8634" w:type="dxa"/>
            <w:tcBorders>
              <w:top w:val="single" w:sz="4" w:space="0" w:color="000001"/>
              <w:left w:val="single" w:sz="4" w:space="0" w:color="000001"/>
              <w:bottom w:val="single" w:sz="4" w:space="0" w:color="000001"/>
              <w:right w:val="single" w:sz="4" w:space="0" w:color="000001"/>
            </w:tcBorders>
            <w:tcMar>
              <w:top w:w="45" w:type="dxa"/>
              <w:left w:w="110" w:type="dxa"/>
              <w:bottom w:w="0" w:type="dxa"/>
              <w:right w:w="113" w:type="dxa"/>
            </w:tcMar>
          </w:tcPr>
          <w:p w:rsidR="00904B5B" w:rsidRPr="0067031E" w:rsidRDefault="006D7B73">
            <w:pPr>
              <w:pStyle w:val="Standard"/>
              <w:pBdr>
                <w:top w:val="none" w:sz="0" w:space="0" w:color="auto"/>
                <w:left w:val="none" w:sz="0" w:space="0" w:color="auto"/>
                <w:bottom w:val="none" w:sz="0" w:space="0" w:color="auto"/>
                <w:right w:val="none" w:sz="0" w:space="0" w:color="auto"/>
              </w:pBdr>
              <w:spacing w:after="0"/>
              <w:ind w:left="0"/>
              <w:rPr>
                <w:sz w:val="44"/>
                <w:szCs w:val="44"/>
              </w:rPr>
            </w:pPr>
            <w:r w:rsidRPr="0067031E">
              <w:rPr>
                <w:b/>
                <w:sz w:val="44"/>
                <w:szCs w:val="44"/>
                <w:u w:val="single" w:color="000000"/>
              </w:rPr>
              <w:t>ΚΩΔΙΚΟΣ ΝΟΣΟΚΟΜΕΙΟΥ:</w:t>
            </w:r>
            <w:r w:rsidRPr="0067031E">
              <w:rPr>
                <w:b/>
                <w:bCs/>
                <w:sz w:val="44"/>
                <w:szCs w:val="44"/>
              </w:rPr>
              <w:t>268769</w:t>
            </w:r>
          </w:p>
          <w:p w:rsidR="00904B5B" w:rsidRPr="0067031E" w:rsidRDefault="006D7B73">
            <w:pPr>
              <w:pStyle w:val="Standard"/>
              <w:pBdr>
                <w:top w:val="none" w:sz="0" w:space="0" w:color="auto"/>
                <w:left w:val="none" w:sz="0" w:space="0" w:color="auto"/>
                <w:bottom w:val="none" w:sz="0" w:space="0" w:color="auto"/>
                <w:right w:val="none" w:sz="0" w:space="0" w:color="auto"/>
              </w:pBdr>
              <w:spacing w:after="0"/>
              <w:ind w:left="0"/>
              <w:rPr>
                <w:sz w:val="44"/>
                <w:szCs w:val="44"/>
              </w:rPr>
            </w:pPr>
            <w:r w:rsidRPr="0067031E">
              <w:rPr>
                <w:b/>
                <w:sz w:val="44"/>
                <w:szCs w:val="44"/>
                <w:u w:val="single" w:color="000000"/>
              </w:rPr>
              <w:t>ΤΕΧΝΙΚΕΣ ΠΡΟΔΙΑΓΡΑΦΕΣ ΣΕΤ ΕΠΙΔΕΣΜΩΝ ΑΡΓΥΡΟΥ ΠΟΛΥΟΥΡΕΘΑΝΗΣ LARGE</w:t>
            </w:r>
          </w:p>
          <w:p w:rsidR="00904B5B" w:rsidRPr="0067031E" w:rsidRDefault="006D7B73">
            <w:pPr>
              <w:pStyle w:val="Standard"/>
              <w:pBdr>
                <w:top w:val="none" w:sz="0" w:space="0" w:color="auto"/>
                <w:left w:val="none" w:sz="0" w:space="0" w:color="auto"/>
                <w:bottom w:val="none" w:sz="0" w:space="0" w:color="auto"/>
                <w:right w:val="none" w:sz="0" w:space="0" w:color="auto"/>
              </w:pBdr>
              <w:spacing w:after="0"/>
              <w:ind w:left="0"/>
              <w:rPr>
                <w:sz w:val="44"/>
                <w:szCs w:val="44"/>
              </w:rPr>
            </w:pPr>
            <w:r w:rsidRPr="0067031E">
              <w:rPr>
                <w:b/>
                <w:sz w:val="44"/>
                <w:szCs w:val="44"/>
                <w:u w:val="single" w:color="000000"/>
              </w:rPr>
              <w:t>(26x15x3,3)</w:t>
            </w:r>
            <w:r w:rsidRPr="0067031E">
              <w:rPr>
                <w:sz w:val="44"/>
                <w:szCs w:val="44"/>
              </w:rPr>
              <w:t xml:space="preserve">  Σετ σπόγγου αργύρου συστήματος αρνητικής πίεσης  με αυτοκόλλητο σωλήνα αναρρόφησης του εξιδρώματος και αυτοκόλλητη  μεμβράνη </w:t>
            </w:r>
            <w:r w:rsidRPr="0067031E">
              <w:rPr>
                <w:sz w:val="44"/>
                <w:szCs w:val="44"/>
              </w:rPr>
              <w:lastRenderedPageBreak/>
              <w:t xml:space="preserve">διαφανή για την επίτευξη αεροστεγούς αποκλεισμού  του τραύματος. Το σετ να περιέχει σπόγγο με ιοντικό άργυρο ομοιογενώς κατανεμημένο στη δομή του, αποστειρωμένο, με λειασμένους πόρους για μείωση του πόνου κατά την αφαίρεση, αποστειρωμένο σωλήνα με δίσκο απορρόφησης  που να φέρει  φίλτρο για αποφυγή της δυσοσμίας και αυτοκόλλητη μεμβράνη αποστειρωμένη του ίδιου κατασκευαστικού οίκου. Κάθε αναλώσιμο που περιλαμβάνεται στο σετ να είναι ατομικά αποστειρωμένο καθώς και του ίδιου κατασκευαστικού οίκου για τέλεια συμβατότητα. </w:t>
            </w:r>
            <w:r w:rsidRPr="0067031E">
              <w:rPr>
                <w:b/>
                <w:sz w:val="44"/>
                <w:szCs w:val="44"/>
              </w:rPr>
              <w:t>ΔΙΑΣΤΑΣΕΙΣ: 26x15x3,3</w:t>
            </w:r>
          </w:p>
        </w:tc>
      </w:tr>
      <w:tr w:rsidR="00904B5B" w:rsidRPr="0067031E">
        <w:trPr>
          <w:trHeight w:val="280"/>
        </w:trPr>
        <w:tc>
          <w:tcPr>
            <w:tcW w:w="8634" w:type="dxa"/>
            <w:tcBorders>
              <w:top w:val="single" w:sz="4" w:space="0" w:color="000001"/>
              <w:left w:val="single" w:sz="4" w:space="0" w:color="000001"/>
              <w:bottom w:val="single" w:sz="4" w:space="0" w:color="000001"/>
              <w:right w:val="single" w:sz="4" w:space="0" w:color="000001"/>
            </w:tcBorders>
            <w:tcMar>
              <w:top w:w="45" w:type="dxa"/>
              <w:left w:w="110" w:type="dxa"/>
              <w:bottom w:w="0" w:type="dxa"/>
              <w:right w:w="113" w:type="dxa"/>
            </w:tcMar>
          </w:tcPr>
          <w:p w:rsidR="00904B5B" w:rsidRPr="0067031E" w:rsidRDefault="00904B5B">
            <w:pPr>
              <w:pStyle w:val="Standard"/>
              <w:pBdr>
                <w:top w:val="none" w:sz="0" w:space="0" w:color="auto"/>
                <w:left w:val="none" w:sz="0" w:space="0" w:color="auto"/>
                <w:bottom w:val="none" w:sz="0" w:space="0" w:color="auto"/>
                <w:right w:val="none" w:sz="0" w:space="0" w:color="auto"/>
              </w:pBdr>
              <w:spacing w:after="0"/>
              <w:ind w:left="0"/>
              <w:rPr>
                <w:b/>
                <w:sz w:val="44"/>
                <w:szCs w:val="44"/>
              </w:rPr>
            </w:pPr>
          </w:p>
        </w:tc>
      </w:tr>
      <w:tr w:rsidR="00904B5B" w:rsidRPr="0067031E">
        <w:trPr>
          <w:trHeight w:val="1086"/>
        </w:trPr>
        <w:tc>
          <w:tcPr>
            <w:tcW w:w="8634" w:type="dxa"/>
            <w:tcBorders>
              <w:top w:val="single" w:sz="4" w:space="0" w:color="000001"/>
              <w:left w:val="single" w:sz="4" w:space="0" w:color="000001"/>
              <w:bottom w:val="single" w:sz="4" w:space="0" w:color="000001"/>
              <w:right w:val="single" w:sz="4" w:space="0" w:color="000001"/>
            </w:tcBorders>
            <w:tcMar>
              <w:top w:w="45" w:type="dxa"/>
              <w:left w:w="110" w:type="dxa"/>
              <w:bottom w:w="0" w:type="dxa"/>
              <w:right w:w="113" w:type="dxa"/>
            </w:tcMar>
          </w:tcPr>
          <w:p w:rsidR="00904B5B" w:rsidRPr="0067031E" w:rsidRDefault="00904B5B">
            <w:pPr>
              <w:pStyle w:val="Standard"/>
              <w:pBdr>
                <w:top w:val="none" w:sz="0" w:space="0" w:color="auto"/>
                <w:left w:val="none" w:sz="0" w:space="0" w:color="auto"/>
                <w:bottom w:val="none" w:sz="0" w:space="0" w:color="auto"/>
                <w:right w:val="none" w:sz="0" w:space="0" w:color="auto"/>
              </w:pBdr>
              <w:spacing w:after="0"/>
              <w:ind w:left="0"/>
              <w:rPr>
                <w:b/>
                <w:sz w:val="44"/>
                <w:szCs w:val="44"/>
                <w:u w:val="single" w:color="000000"/>
              </w:rPr>
            </w:pPr>
          </w:p>
        </w:tc>
      </w:tr>
    </w:tbl>
    <w:p w:rsidR="00904B5B" w:rsidRPr="0067031E" w:rsidRDefault="00904B5B">
      <w:pPr>
        <w:pStyle w:val="Standard"/>
        <w:pBdr>
          <w:top w:val="none" w:sz="0" w:space="0" w:color="auto"/>
          <w:left w:val="none" w:sz="0" w:space="0" w:color="auto"/>
          <w:bottom w:val="none" w:sz="0" w:space="0" w:color="auto"/>
          <w:right w:val="none" w:sz="0" w:space="0" w:color="auto"/>
        </w:pBdr>
        <w:spacing w:after="0" w:line="259" w:lineRule="auto"/>
        <w:ind w:left="0"/>
        <w:rPr>
          <w:rFonts w:cs="Calibri"/>
          <w:sz w:val="44"/>
          <w:szCs w:val="44"/>
        </w:rPr>
      </w:pPr>
    </w:p>
    <w:tbl>
      <w:tblPr>
        <w:tblW w:w="8634" w:type="dxa"/>
        <w:tblInd w:w="-105" w:type="dxa"/>
        <w:tblLayout w:type="fixed"/>
        <w:tblCellMar>
          <w:left w:w="10" w:type="dxa"/>
          <w:right w:w="10" w:type="dxa"/>
        </w:tblCellMar>
        <w:tblLook w:val="0000" w:firstRow="0" w:lastRow="0" w:firstColumn="0" w:lastColumn="0" w:noHBand="0" w:noVBand="0"/>
      </w:tblPr>
      <w:tblGrid>
        <w:gridCol w:w="8634"/>
      </w:tblGrid>
      <w:tr w:rsidR="00904B5B" w:rsidRPr="0067031E">
        <w:trPr>
          <w:trHeight w:val="280"/>
        </w:trPr>
        <w:tc>
          <w:tcPr>
            <w:tcW w:w="8634" w:type="dxa"/>
            <w:tcBorders>
              <w:top w:val="single" w:sz="4" w:space="0" w:color="000001"/>
              <w:left w:val="single" w:sz="4" w:space="0" w:color="000001"/>
              <w:bottom w:val="single" w:sz="4" w:space="0" w:color="000001"/>
              <w:right w:val="single" w:sz="4" w:space="0" w:color="000001"/>
            </w:tcBorders>
            <w:tcMar>
              <w:top w:w="45" w:type="dxa"/>
              <w:left w:w="110" w:type="dxa"/>
              <w:bottom w:w="0" w:type="dxa"/>
              <w:right w:w="72" w:type="dxa"/>
            </w:tcMar>
          </w:tcPr>
          <w:p w:rsidR="00904B5B" w:rsidRPr="0067031E" w:rsidRDefault="006D7B73">
            <w:pPr>
              <w:pStyle w:val="Standard"/>
              <w:pBdr>
                <w:top w:val="none" w:sz="0" w:space="0" w:color="auto"/>
                <w:left w:val="none" w:sz="0" w:space="0" w:color="auto"/>
                <w:bottom w:val="none" w:sz="0" w:space="0" w:color="auto"/>
                <w:right w:val="none" w:sz="0" w:space="0" w:color="auto"/>
              </w:pBdr>
              <w:spacing w:after="0"/>
              <w:ind w:left="0"/>
              <w:rPr>
                <w:b/>
                <w:sz w:val="44"/>
                <w:szCs w:val="44"/>
              </w:rPr>
            </w:pPr>
            <w:r w:rsidRPr="0067031E">
              <w:rPr>
                <w:b/>
                <w:sz w:val="44"/>
                <w:szCs w:val="44"/>
              </w:rPr>
              <w:t>ΑΝΤΛΙΑ ΑΡΝΗΤΙΚΗΣ ΠΙΕΣΗΣ ΑΝΑ ΑΣΘΕΝΗ (ΧΟΡΗΓΕΙΤΑΙ  ΔΩΡΕΑΝ)</w:t>
            </w:r>
          </w:p>
        </w:tc>
      </w:tr>
      <w:tr w:rsidR="00904B5B" w:rsidRPr="0067031E">
        <w:trPr>
          <w:trHeight w:val="280"/>
        </w:trPr>
        <w:tc>
          <w:tcPr>
            <w:tcW w:w="8634" w:type="dxa"/>
            <w:tcBorders>
              <w:top w:val="single" w:sz="4" w:space="0" w:color="000001"/>
              <w:left w:val="single" w:sz="4" w:space="0" w:color="000001"/>
              <w:bottom w:val="single" w:sz="4" w:space="0" w:color="000001"/>
              <w:right w:val="single" w:sz="4" w:space="0" w:color="000001"/>
            </w:tcBorders>
            <w:tcMar>
              <w:top w:w="45" w:type="dxa"/>
              <w:left w:w="110" w:type="dxa"/>
              <w:bottom w:w="0" w:type="dxa"/>
              <w:right w:w="72" w:type="dxa"/>
            </w:tcMar>
          </w:tcPr>
          <w:p w:rsidR="00904B5B" w:rsidRPr="0067031E" w:rsidRDefault="006D7B73">
            <w:pPr>
              <w:pStyle w:val="Standard"/>
              <w:pBdr>
                <w:top w:val="none" w:sz="0" w:space="0" w:color="auto"/>
                <w:left w:val="none" w:sz="0" w:space="0" w:color="auto"/>
                <w:bottom w:val="none" w:sz="0" w:space="0" w:color="auto"/>
                <w:right w:val="none" w:sz="0" w:space="0" w:color="auto"/>
              </w:pBdr>
              <w:spacing w:after="0"/>
              <w:ind w:left="0"/>
              <w:rPr>
                <w:sz w:val="44"/>
                <w:szCs w:val="44"/>
              </w:rPr>
            </w:pPr>
            <w:r w:rsidRPr="0067031E">
              <w:rPr>
                <w:sz w:val="44"/>
                <w:szCs w:val="44"/>
              </w:rPr>
              <w:t xml:space="preserve">Χορηγείται ΔΩΡΕΑΝ και πρέπει να είναι συμβατή με τα παραπάνω υλικά.  </w:t>
            </w:r>
          </w:p>
        </w:tc>
      </w:tr>
      <w:tr w:rsidR="00904B5B" w:rsidRPr="0067031E">
        <w:trPr>
          <w:trHeight w:val="2696"/>
        </w:trPr>
        <w:tc>
          <w:tcPr>
            <w:tcW w:w="8634" w:type="dxa"/>
            <w:tcBorders>
              <w:top w:val="single" w:sz="4" w:space="0" w:color="000001"/>
              <w:left w:val="single" w:sz="4" w:space="0" w:color="000001"/>
              <w:bottom w:val="single" w:sz="4" w:space="0" w:color="000001"/>
              <w:right w:val="single" w:sz="4" w:space="0" w:color="000001"/>
            </w:tcBorders>
            <w:tcMar>
              <w:top w:w="45" w:type="dxa"/>
              <w:left w:w="110" w:type="dxa"/>
              <w:bottom w:w="0" w:type="dxa"/>
              <w:right w:w="72" w:type="dxa"/>
            </w:tcMar>
          </w:tcPr>
          <w:p w:rsidR="00904B5B" w:rsidRPr="0067031E" w:rsidRDefault="006D7B73">
            <w:pPr>
              <w:pStyle w:val="Standard"/>
              <w:pBdr>
                <w:top w:val="none" w:sz="0" w:space="0" w:color="auto"/>
                <w:left w:val="none" w:sz="0" w:space="0" w:color="auto"/>
                <w:bottom w:val="none" w:sz="0" w:space="0" w:color="auto"/>
                <w:right w:val="none" w:sz="0" w:space="0" w:color="auto"/>
              </w:pBdr>
              <w:spacing w:after="0"/>
              <w:ind w:left="0"/>
              <w:rPr>
                <w:sz w:val="44"/>
                <w:szCs w:val="44"/>
              </w:rPr>
            </w:pPr>
            <w:r w:rsidRPr="0067031E">
              <w:rPr>
                <w:sz w:val="44"/>
                <w:szCs w:val="44"/>
              </w:rPr>
              <w:lastRenderedPageBreak/>
              <w:t xml:space="preserve">ΤΕΧΝΙΚΕΣ ΠΡΟΔΙΑΓΡΑΦΕΣ: Να έχει δυνατότητα ρύθμισης της πίεσης έως </w:t>
            </w:r>
            <w:r w:rsidRPr="0067031E">
              <w:rPr>
                <w:b/>
                <w:sz w:val="44"/>
                <w:szCs w:val="44"/>
              </w:rPr>
              <w:t>230 mmHg,</w:t>
            </w:r>
            <w:r w:rsidRPr="0067031E">
              <w:rPr>
                <w:sz w:val="44"/>
                <w:szCs w:val="44"/>
              </w:rPr>
              <w:t xml:space="preserve"> ελέγχου πίεσης στον πυθμένα του τραύματος, 3 μορφών λειτουργίας:  συνεχόμενης, διαλείπουσας, εναλλασσόμενης ρύθμισης της ροής της πίεσης, επιλογής ανάμεσα σε δυνατότητα ηχητικών και οπτικών συναγερμών με διαφορετική χρωματική ένδειξη. Να είναι ελαφριά με βάρος  έως 800 γρ και φορητή για δυνατότητα μεταφοράς κατά τη χρήση από περιπατητικούς ασθενείς. Λειτουργικό αντλίας  στα ελληνικά με εύκολη πλοήγηση και δυνατότητα αναβάθμισης του λογισμικού της αντλίας. Δυνατότητα για μεγάλη ανεξαρτησία στην λειτουργία της αντλίας από 12 έως 24 ώρες με επαναφορτιζόμενη μπαταρία και να έχει  φίλτρο στην αντλία για αποφυγή εισροής εξιδρώματος. Να συνοδεύεται από θήκη μεταφοράς και τοποθέτησης στο κρεβάτι  και να φέρει  CE MARK.</w:t>
            </w:r>
          </w:p>
        </w:tc>
      </w:tr>
      <w:tr w:rsidR="00904B5B" w:rsidRPr="0067031E">
        <w:trPr>
          <w:trHeight w:val="1086"/>
        </w:trPr>
        <w:tc>
          <w:tcPr>
            <w:tcW w:w="8634" w:type="dxa"/>
            <w:tcBorders>
              <w:top w:val="single" w:sz="4" w:space="0" w:color="000001"/>
              <w:left w:val="single" w:sz="4" w:space="0" w:color="000001"/>
              <w:bottom w:val="single" w:sz="4" w:space="0" w:color="000001"/>
              <w:right w:val="single" w:sz="4" w:space="0" w:color="000001"/>
            </w:tcBorders>
            <w:tcMar>
              <w:top w:w="45" w:type="dxa"/>
              <w:left w:w="110" w:type="dxa"/>
              <w:bottom w:w="0" w:type="dxa"/>
              <w:right w:w="72" w:type="dxa"/>
            </w:tcMar>
          </w:tcPr>
          <w:p w:rsidR="00904B5B" w:rsidRPr="0067031E" w:rsidRDefault="006D7B73">
            <w:pPr>
              <w:pStyle w:val="Standard"/>
              <w:pBdr>
                <w:top w:val="none" w:sz="0" w:space="0" w:color="auto"/>
                <w:left w:val="none" w:sz="0" w:space="0" w:color="auto"/>
                <w:bottom w:val="none" w:sz="0" w:space="0" w:color="auto"/>
                <w:right w:val="none" w:sz="0" w:space="0" w:color="auto"/>
              </w:pBdr>
              <w:spacing w:after="0"/>
              <w:ind w:left="0"/>
              <w:rPr>
                <w:sz w:val="44"/>
                <w:szCs w:val="44"/>
              </w:rPr>
            </w:pPr>
            <w:r w:rsidRPr="0067031E">
              <w:rPr>
                <w:b/>
                <w:sz w:val="44"/>
                <w:szCs w:val="44"/>
                <w:u w:val="single" w:color="000000"/>
              </w:rPr>
              <w:t>Σημείωση :</w:t>
            </w:r>
            <w:r w:rsidRPr="0067031E">
              <w:rPr>
                <w:sz w:val="44"/>
                <w:szCs w:val="44"/>
              </w:rPr>
              <w:t xml:space="preserve"> Όλα τα επιμέρους τμήματα του σετ να είναι σε ξεχωριστή συσκευασία, η </w:t>
            </w:r>
            <w:r w:rsidRPr="0067031E">
              <w:rPr>
                <w:sz w:val="44"/>
                <w:szCs w:val="44"/>
              </w:rPr>
              <w:lastRenderedPageBreak/>
              <w:t>οποία να φέρει σήμανση με τη εμπορική επωνυμία, διεύθυνση κατασκευαστών, εμπορική ονομασία - περιγραφή προϊόντος, κωδικό παρτίδας, ένδειξη οριακής ασφαλούς ημερομηνίας χρήσης, σύμφωνα με ΦΕΚ αρ.φυλλου 2198, 2/10/2009 ( αρ ΔΥ8δ/Γ.Π. οικ.130648)</w:t>
            </w:r>
          </w:p>
        </w:tc>
      </w:tr>
    </w:tbl>
    <w:p w:rsidR="00904B5B" w:rsidRPr="0067031E" w:rsidRDefault="00904B5B">
      <w:pPr>
        <w:pStyle w:val="Standard"/>
        <w:pBdr>
          <w:top w:val="none" w:sz="0" w:space="0" w:color="auto"/>
          <w:left w:val="none" w:sz="0" w:space="0" w:color="auto"/>
          <w:bottom w:val="none" w:sz="0" w:space="0" w:color="auto"/>
          <w:right w:val="none" w:sz="0" w:space="0" w:color="auto"/>
        </w:pBdr>
        <w:spacing w:after="0" w:line="259" w:lineRule="auto"/>
        <w:ind w:left="0"/>
        <w:rPr>
          <w:rFonts w:cs="Calibri"/>
          <w:sz w:val="44"/>
          <w:szCs w:val="44"/>
        </w:rPr>
      </w:pPr>
    </w:p>
    <w:sectPr w:rsidR="00904B5B" w:rsidRPr="0067031E" w:rsidSect="0019563E">
      <w:pgSz w:w="12240" w:h="15840"/>
      <w:pgMar w:top="1440" w:right="2063" w:bottom="1440" w:left="18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8DD" w:rsidRDefault="00E648DD">
      <w:pPr>
        <w:spacing w:after="0" w:line="240" w:lineRule="auto"/>
      </w:pPr>
      <w:r>
        <w:separator/>
      </w:r>
    </w:p>
  </w:endnote>
  <w:endnote w:type="continuationSeparator" w:id="0">
    <w:p w:rsidR="00E648DD" w:rsidRDefault="00E6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8DD" w:rsidRDefault="00E648DD">
      <w:pPr>
        <w:spacing w:after="0" w:line="240" w:lineRule="auto"/>
      </w:pPr>
      <w:r>
        <w:rPr>
          <w:color w:val="000000"/>
        </w:rPr>
        <w:separator/>
      </w:r>
    </w:p>
  </w:footnote>
  <w:footnote w:type="continuationSeparator" w:id="0">
    <w:p w:rsidR="00E648DD" w:rsidRDefault="00E648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5B"/>
    <w:rsid w:val="00036BFB"/>
    <w:rsid w:val="000F463C"/>
    <w:rsid w:val="0019563E"/>
    <w:rsid w:val="004A264C"/>
    <w:rsid w:val="00582B08"/>
    <w:rsid w:val="0067031E"/>
    <w:rsid w:val="006D7B73"/>
    <w:rsid w:val="008E2D64"/>
    <w:rsid w:val="00904B5B"/>
    <w:rsid w:val="00A80A95"/>
    <w:rsid w:val="00C80C9E"/>
    <w:rsid w:val="00E648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254A9-C16F-473E-8ED0-AF40BBA5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SimSun" w:hAnsi="Aptos" w:cs="Tahoma"/>
        <w:kern w:val="3"/>
        <w:sz w:val="24"/>
        <w:szCs w:val="24"/>
        <w:lang w:val="el-GR" w:eastAsia="el-GR" w:bidi="ar-SA"/>
      </w:rPr>
    </w:rPrDefault>
    <w:pPrDefault>
      <w:pPr>
        <w:widowControl w:val="0"/>
        <w:suppressAutoHyphens/>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6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9563E"/>
    <w:pPr>
      <w:widowControl/>
      <w:pBdr>
        <w:top w:val="single" w:sz="4" w:space="0" w:color="000001"/>
        <w:left w:val="single" w:sz="4" w:space="0" w:color="000001"/>
        <w:bottom w:val="single" w:sz="4" w:space="0" w:color="000001"/>
        <w:right w:val="single" w:sz="4" w:space="0" w:color="000001"/>
      </w:pBdr>
      <w:spacing w:after="13" w:line="240" w:lineRule="auto"/>
      <w:ind w:left="115"/>
    </w:pPr>
    <w:rPr>
      <w:rFonts w:ascii="Calibri" w:eastAsia="Calibri" w:hAnsi="Calibri" w:cs="Times New Roman"/>
      <w:color w:val="000000"/>
      <w:sz w:val="22"/>
    </w:rPr>
  </w:style>
  <w:style w:type="paragraph" w:customStyle="1" w:styleId="Heading">
    <w:name w:val="Heading"/>
    <w:basedOn w:val="Standard"/>
    <w:next w:val="Textbody"/>
    <w:rsid w:val="0019563E"/>
    <w:pPr>
      <w:keepNext/>
      <w:spacing w:before="240" w:after="120"/>
    </w:pPr>
    <w:rPr>
      <w:rFonts w:ascii="Arial" w:eastAsia="Microsoft YaHei" w:hAnsi="Arial" w:cs="Arial Unicode MS"/>
      <w:sz w:val="28"/>
      <w:szCs w:val="28"/>
    </w:rPr>
  </w:style>
  <w:style w:type="paragraph" w:customStyle="1" w:styleId="Textbody">
    <w:name w:val="Text body"/>
    <w:basedOn w:val="Standard"/>
    <w:rsid w:val="0019563E"/>
    <w:pPr>
      <w:spacing w:after="120"/>
    </w:pPr>
  </w:style>
  <w:style w:type="paragraph" w:styleId="a3">
    <w:name w:val="List"/>
    <w:basedOn w:val="Textbody"/>
    <w:rsid w:val="0019563E"/>
    <w:rPr>
      <w:rFonts w:cs="Arial Unicode MS"/>
    </w:rPr>
  </w:style>
  <w:style w:type="paragraph" w:styleId="a4">
    <w:name w:val="caption"/>
    <w:basedOn w:val="Standard"/>
    <w:rsid w:val="0019563E"/>
    <w:pPr>
      <w:suppressLineNumbers/>
      <w:spacing w:before="120" w:after="120"/>
    </w:pPr>
    <w:rPr>
      <w:rFonts w:cs="Arial Unicode MS"/>
      <w:i/>
      <w:iCs/>
      <w:sz w:val="24"/>
    </w:rPr>
  </w:style>
  <w:style w:type="paragraph" w:customStyle="1" w:styleId="Index">
    <w:name w:val="Index"/>
    <w:basedOn w:val="Standard"/>
    <w:rsid w:val="0019563E"/>
    <w:pPr>
      <w:suppressLineNumbers/>
    </w:pPr>
    <w:rPr>
      <w:rFonts w:cs="Arial Unicode MS"/>
    </w:rPr>
  </w:style>
  <w:style w:type="paragraph" w:customStyle="1" w:styleId="TableContents">
    <w:name w:val="Table Contents"/>
    <w:basedOn w:val="Standard"/>
    <w:rsid w:val="0019563E"/>
    <w:pPr>
      <w:suppressLineNumbers/>
    </w:pPr>
  </w:style>
  <w:style w:type="paragraph" w:styleId="a5">
    <w:name w:val="Balloon Text"/>
    <w:basedOn w:val="a"/>
    <w:link w:val="Char"/>
    <w:uiPriority w:val="99"/>
    <w:semiHidden/>
    <w:unhideWhenUsed/>
    <w:rsid w:val="000F463C"/>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0F46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399</Words>
  <Characters>2155</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Stavrakaki</dc:creator>
  <cp:lastModifiedBy>ΧΡΥΣΑΝΘΗ ΣΤΑΜΑΤΕΛΑΤΟΥ</cp:lastModifiedBy>
  <cp:revision>2</cp:revision>
  <cp:lastPrinted>2026-01-19T10:30:00Z</cp:lastPrinted>
  <dcterms:created xsi:type="dcterms:W3CDTF">2026-01-19T10:30:00Z</dcterms:created>
  <dcterms:modified xsi:type="dcterms:W3CDTF">2026-01-19T10:30:00Z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